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19" w:rsidRDefault="00757A3D">
      <w:r>
        <w:t>Zestaw 01</w:t>
      </w:r>
      <w:r w:rsidR="00D45087">
        <w:t xml:space="preserve"> (kat.7)</w:t>
      </w:r>
      <w:bookmarkStart w:id="0" w:name="_GoBack"/>
      <w:bookmarkEnd w:id="0"/>
    </w:p>
    <w:p w:rsidR="00757A3D" w:rsidRDefault="00E14C19">
      <w:r>
        <w:t>G1</w:t>
      </w:r>
    </w:p>
    <w:p w:rsidR="00757A3D" w:rsidRDefault="00757A3D">
      <w:r>
        <w:t>Zakup zestawu interaktywnego do dodatkowych zajęć z matematyki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tablica interaktywna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laptop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urządzenie wielofunkcyjne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montaż</w:t>
      </w:r>
    </w:p>
    <w:p w:rsidR="00757A3D" w:rsidRDefault="00757A3D" w:rsidP="00757A3D"/>
    <w:p w:rsidR="00757A3D" w:rsidRPr="00E14C19" w:rsidRDefault="00757A3D" w:rsidP="00757A3D">
      <w:pPr>
        <w:pStyle w:val="Akapitzlist"/>
        <w:numPr>
          <w:ilvl w:val="0"/>
          <w:numId w:val="2"/>
        </w:numPr>
        <w:rPr>
          <w:b/>
        </w:rPr>
      </w:pPr>
      <w:r w:rsidRPr="00E14C19">
        <w:rPr>
          <w:b/>
        </w:rPr>
        <w:t>Tablica interaktywna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757A3D" w:rsidRPr="00036DF5" w:rsidTr="0056792E">
        <w:tc>
          <w:tcPr>
            <w:tcW w:w="279" w:type="pct"/>
            <w:vAlign w:val="center"/>
          </w:tcPr>
          <w:p w:rsidR="00757A3D" w:rsidRPr="00036DF5" w:rsidRDefault="00757A3D" w:rsidP="005679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757A3D" w:rsidRPr="00036DF5" w:rsidRDefault="00757A3D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757A3D" w:rsidRPr="00036DF5" w:rsidRDefault="00757A3D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Typ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tablica interaktywna współpracująca z projektorem i komputerem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Zastosowanie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u</w:t>
            </w:r>
            <w:r w:rsidRPr="00084F56">
              <w:t>żytkownik może pisać lub rysować bezpośrednio na powierzchni tablicy za pomocą dołączonego wskaźnika lub po prostu palcem, a pisane treści natychmiast pojawiają się na tablicy – komputer i tablica interaktywna wyświetlają ten sam obraz, w sposób zsynchronizowany.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Przekątna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80”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Technologia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optyczna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 w:rsidRPr="00084F56">
              <w:t>Właściwości powierzchni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 w:rsidRPr="00122CC8">
              <w:t xml:space="preserve">magnetyczna, </w:t>
            </w:r>
            <w:proofErr w:type="spellStart"/>
            <w:r w:rsidRPr="00122CC8">
              <w:t>suchościeralna</w:t>
            </w:r>
            <w:proofErr w:type="spellEnd"/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 w:rsidRPr="00084F56">
              <w:t>Sposób obsługi</w:t>
            </w:r>
          </w:p>
        </w:tc>
        <w:tc>
          <w:tcPr>
            <w:tcW w:w="3759" w:type="pct"/>
            <w:vAlign w:val="center"/>
          </w:tcPr>
          <w:p w:rsidR="00757A3D" w:rsidRPr="00084F56" w:rsidRDefault="00757A3D" w:rsidP="0056792E">
            <w:r w:rsidRPr="00084F56">
              <w:t>wskaźnik lub palec</w:t>
            </w:r>
          </w:p>
        </w:tc>
      </w:tr>
      <w:tr w:rsidR="00757A3D" w:rsidRPr="00084F56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757A3D" w:rsidRPr="00B830A9" w:rsidRDefault="00757A3D" w:rsidP="0056792E">
            <w:r>
              <w:t>Komunikacja z komputerem</w:t>
            </w:r>
          </w:p>
        </w:tc>
        <w:tc>
          <w:tcPr>
            <w:tcW w:w="3759" w:type="pct"/>
            <w:vAlign w:val="center"/>
          </w:tcPr>
          <w:p w:rsidR="00757A3D" w:rsidRPr="00F32388" w:rsidRDefault="00757A3D" w:rsidP="00757A3D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757A3D" w:rsidRPr="003471E8" w:rsidRDefault="00757A3D" w:rsidP="0056792E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2925E5" w:rsidRDefault="00757A3D" w:rsidP="002925E5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</w:t>
            </w:r>
            <w:r w:rsidR="002925E5">
              <w:t>ty dostawy</w:t>
            </w:r>
          </w:p>
          <w:p w:rsidR="00757A3D" w:rsidRPr="00055FF6" w:rsidRDefault="00757A3D" w:rsidP="002925E5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</w:t>
            </w:r>
            <w:r w:rsidR="00BA573F">
              <w:t>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2925E5" w:rsidTr="0056792E">
        <w:tc>
          <w:tcPr>
            <w:tcW w:w="279" w:type="pct"/>
            <w:vAlign w:val="center"/>
          </w:tcPr>
          <w:p w:rsidR="002925E5" w:rsidRPr="00757A3D" w:rsidRDefault="002925E5" w:rsidP="0056792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2925E5" w:rsidRPr="003471E8" w:rsidRDefault="002925E5" w:rsidP="0056792E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2925E5" w:rsidRPr="002925E5" w:rsidRDefault="002925E5" w:rsidP="002925E5">
            <w:r>
              <w:t>montaż tablicy we wskazanym miejscu</w:t>
            </w:r>
          </w:p>
        </w:tc>
      </w:tr>
      <w:tr w:rsidR="00121322" w:rsidTr="0056792E">
        <w:tc>
          <w:tcPr>
            <w:tcW w:w="279" w:type="pct"/>
            <w:vAlign w:val="center"/>
          </w:tcPr>
          <w:p w:rsidR="00121322" w:rsidRDefault="00121322" w:rsidP="0056792E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121322" w:rsidRPr="00121322" w:rsidRDefault="00121322" w:rsidP="0056792E">
            <w:pPr>
              <w:rPr>
                <w:b/>
              </w:rPr>
            </w:pPr>
            <w:r w:rsidRPr="00121322">
              <w:rPr>
                <w:b/>
              </w:rPr>
              <w:t>Cena brutto</w:t>
            </w:r>
          </w:p>
        </w:tc>
        <w:tc>
          <w:tcPr>
            <w:tcW w:w="3759" w:type="pct"/>
            <w:vAlign w:val="center"/>
          </w:tcPr>
          <w:p w:rsidR="00121322" w:rsidRDefault="00121322" w:rsidP="002925E5"/>
        </w:tc>
      </w:tr>
    </w:tbl>
    <w:p w:rsidR="00757A3D" w:rsidRDefault="00757A3D" w:rsidP="00757A3D"/>
    <w:p w:rsidR="00757A3D" w:rsidRPr="00E14C19" w:rsidRDefault="00E14C19" w:rsidP="00757A3D">
      <w:pPr>
        <w:pStyle w:val="Akapitzlist"/>
        <w:numPr>
          <w:ilvl w:val="0"/>
          <w:numId w:val="2"/>
        </w:numPr>
        <w:rPr>
          <w:b/>
        </w:rPr>
      </w:pPr>
      <w:r w:rsidRPr="00E14C19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E14C19" w:rsidRPr="00036DF5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Typ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komputer przenośny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Zastosowanie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aplikacje biurowe, aplikacje edukacyjne, prezentacje multimedialne, edycja zdjęć, współpraca z projektorem multimedialnym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Procesor</w:t>
            </w:r>
          </w:p>
        </w:tc>
        <w:tc>
          <w:tcPr>
            <w:tcW w:w="3759" w:type="pct"/>
            <w:vAlign w:val="center"/>
          </w:tcPr>
          <w:p w:rsidR="00E14C19" w:rsidRDefault="00E14C19" w:rsidP="00CE14FD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CE14FD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6"/>
              </w:numPr>
            </w:pPr>
            <w:r w:rsidRPr="00F32388">
              <w:t>pojemność: min. 4096 MB,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6"/>
              </w:numPr>
            </w:pPr>
            <w:r w:rsidRPr="00F32388">
              <w:t>maksymalna obsługiwana pojemność: min. 8192 MB,</w:t>
            </w:r>
          </w:p>
          <w:p w:rsidR="00E14C19" w:rsidRPr="00F32388" w:rsidRDefault="00E14C19" w:rsidP="00E14C19">
            <w:pPr>
              <w:pStyle w:val="Akapitzlist"/>
              <w:numPr>
                <w:ilvl w:val="0"/>
                <w:numId w:val="6"/>
              </w:numPr>
            </w:pPr>
            <w:r w:rsidRPr="00F32388">
              <w:lastRenderedPageBreak/>
              <w:t>wolne złącza pamięci: min. 1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5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Ekran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3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E14C19" w:rsidRPr="003455E8" w:rsidRDefault="00E14C19" w:rsidP="00E14C19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Grafika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E14C19" w:rsidRPr="008A192B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E14C19" w:rsidRPr="00B830A9" w:rsidRDefault="00E14C19" w:rsidP="0056792E">
            <w:r>
              <w:t>Komunikacja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E14C19" w:rsidRDefault="00E14C19" w:rsidP="00E14C19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E14C19" w:rsidRPr="00F32388" w:rsidRDefault="00E14C19" w:rsidP="00E14C19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d</w:t>
            </w:r>
            <w:r w:rsidRPr="00B830A9">
              <w:t>ysk twardy o pojemności min. 500GB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E14C19" w:rsidRPr="00B830A9" w:rsidRDefault="00E14C19" w:rsidP="0056792E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E14C19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wbudowany</w:t>
            </w:r>
            <w:r w:rsidRPr="00AB6144">
              <w:t xml:space="preserve"> mikrofon</w:t>
            </w:r>
          </w:p>
          <w:p w:rsidR="00E14C19" w:rsidRPr="00AB6144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wbudowane głośniki stereofoniczne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E14C19" w:rsidRPr="003471E8" w:rsidRDefault="00E14C19" w:rsidP="0056792E">
            <w:r>
              <w:t>czas pracy na baterii min. 3 godziny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E14C19" w:rsidRPr="003471E8" w:rsidRDefault="00E14C19" w:rsidP="0056792E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>
              <w:t>Waga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maksymalnie 2,4kg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E14C19" w:rsidRPr="008D17B3" w:rsidRDefault="00E14C19" w:rsidP="00E14C19">
            <w:pPr>
              <w:pStyle w:val="Akapitzlist"/>
              <w:numPr>
                <w:ilvl w:val="0"/>
                <w:numId w:val="9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>erwis urządzeń musi by</w:t>
            </w:r>
            <w:r w:rsidR="00A902D0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</w:t>
            </w:r>
            <w:r w:rsidR="00202159">
              <w:t>nta (należy dołączyć do oferty).</w:t>
            </w:r>
          </w:p>
          <w:p w:rsidR="00E14C19" w:rsidRPr="003471E8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16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 xml:space="preserve">oprogramowanie antywirusowe </w:t>
            </w:r>
            <w:r w:rsidR="0056792E">
              <w:t xml:space="preserve">w polskiej wersji językowej </w:t>
            </w:r>
            <w:r>
              <w:t xml:space="preserve">zapewniające ochronę plików w czasie rzeczywistym, ochronę poczty e-mail, oraz </w:t>
            </w:r>
            <w:r>
              <w:lastRenderedPageBreak/>
              <w:t>przeglądarki internetowej,</w:t>
            </w:r>
            <w:r w:rsidR="0056792E">
              <w:t xml:space="preserve"> </w:t>
            </w:r>
            <w:r>
              <w:t>z bezpłatnymi aktualizacjami do najnowszej wersji bazy danych wirusów przez 2 lata</w:t>
            </w:r>
          </w:p>
          <w:p w:rsidR="00E14C19" w:rsidRDefault="0056792E" w:rsidP="0056792E">
            <w:pPr>
              <w:pStyle w:val="Akapitzlist"/>
              <w:numPr>
                <w:ilvl w:val="0"/>
                <w:numId w:val="5"/>
              </w:numPr>
            </w:pPr>
            <w:r>
              <w:t xml:space="preserve">najnowszy w polskiej wersji językowej </w:t>
            </w:r>
            <w:r w:rsidR="00E14C19">
              <w:t xml:space="preserve">pakiet programów biurowych zawierający edytor tekstu, arkusz kalkulacyjny, program do tworzenia prezentacji multimedialnych w pełni kompatybilny z formatami plików </w:t>
            </w:r>
            <w:r>
              <w:t>„</w:t>
            </w:r>
            <w:proofErr w:type="spellStart"/>
            <w:r w:rsidRPr="0056792E">
              <w:rPr>
                <w:rStyle w:val="Uwydatnienie"/>
                <w:i w:val="0"/>
              </w:rPr>
              <w:t>txt</w:t>
            </w:r>
            <w:proofErr w:type="spellEnd"/>
            <w:r w:rsidRPr="0056792E">
              <w:rPr>
                <w:rStyle w:val="Uwydatnienie"/>
                <w:i w:val="0"/>
              </w:rPr>
              <w:t xml:space="preserve">”, </w:t>
            </w:r>
            <w:r>
              <w:rPr>
                <w:rStyle w:val="Uwydatnienie"/>
                <w:i w:val="0"/>
              </w:rPr>
              <w:t>„</w:t>
            </w:r>
            <w:proofErr w:type="spellStart"/>
            <w:r w:rsidRPr="0056792E"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</w:t>
            </w:r>
            <w:r w:rsidR="00E14C19">
              <w:t>„</w:t>
            </w:r>
            <w:proofErr w:type="spellStart"/>
            <w:r w:rsidR="00E14C19">
              <w:t>doc</w:t>
            </w:r>
            <w:proofErr w:type="spellEnd"/>
            <w:r w:rsidR="00E14C19">
              <w:t>”, „</w:t>
            </w:r>
            <w:proofErr w:type="spellStart"/>
            <w:r w:rsidR="00E14C19">
              <w:t>docx</w:t>
            </w:r>
            <w:proofErr w:type="spellEnd"/>
            <w:r w:rsidR="00E14C19">
              <w:t>”, „</w:t>
            </w:r>
            <w:proofErr w:type="spellStart"/>
            <w:r w:rsidR="00E14C19">
              <w:t>dot</w:t>
            </w:r>
            <w:proofErr w:type="spellEnd"/>
            <w:r w:rsidR="00E14C19">
              <w:t>”, „</w:t>
            </w:r>
            <w:proofErr w:type="spellStart"/>
            <w:r w:rsidR="00E14C19">
              <w:t>dotx</w:t>
            </w:r>
            <w:proofErr w:type="spellEnd"/>
            <w:r w:rsidR="00E14C19">
              <w:t>”</w:t>
            </w:r>
            <w:r>
              <w:t>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 xml:space="preserve">”, </w:t>
            </w:r>
            <w:r w:rsidR="00E14C19">
              <w:t>„</w:t>
            </w:r>
            <w:proofErr w:type="spellStart"/>
            <w:r w:rsidR="00E14C19">
              <w:t>xls</w:t>
            </w:r>
            <w:proofErr w:type="spellEnd"/>
            <w:r w:rsidR="00E14C19">
              <w:t>”, „</w:t>
            </w:r>
            <w:proofErr w:type="spellStart"/>
            <w:r w:rsidR="00E14C19">
              <w:t>xlsx</w:t>
            </w:r>
            <w:proofErr w:type="spellEnd"/>
            <w:r w:rsidR="00E14C19">
              <w:t>”, „</w:t>
            </w:r>
            <w:proofErr w:type="spellStart"/>
            <w:r w:rsidR="00E14C19">
              <w:t>xlt</w:t>
            </w:r>
            <w:proofErr w:type="spellEnd"/>
            <w:r w:rsidR="00E14C19">
              <w:t>”, „</w:t>
            </w:r>
            <w:proofErr w:type="spellStart"/>
            <w:r w:rsidR="00E14C19">
              <w:t>xltx</w:t>
            </w:r>
            <w:proofErr w:type="spellEnd"/>
            <w:r w:rsidR="00E14C19">
              <w:t>”, „</w:t>
            </w:r>
            <w:proofErr w:type="spellStart"/>
            <w:r w:rsidR="00E14C19">
              <w:t>ppt</w:t>
            </w:r>
            <w:proofErr w:type="spellEnd"/>
            <w:r w:rsidR="00E14C19">
              <w:t>”, „</w:t>
            </w:r>
            <w:proofErr w:type="spellStart"/>
            <w:r w:rsidR="00E14C19">
              <w:t>pptx</w:t>
            </w:r>
            <w:proofErr w:type="spellEnd"/>
            <w:r w:rsidR="00E14C19">
              <w:t>”</w:t>
            </w:r>
            <w:r>
              <w:t xml:space="preserve">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E14C19" w:rsidRPr="00A67E40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17</w:t>
            </w:r>
          </w:p>
        </w:tc>
        <w:tc>
          <w:tcPr>
            <w:tcW w:w="962" w:type="pct"/>
            <w:vAlign w:val="center"/>
          </w:tcPr>
          <w:p w:rsidR="00E14C19" w:rsidRPr="00B830A9" w:rsidRDefault="00E14C19" w:rsidP="0056792E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3</w:t>
            </w:r>
            <w:r w:rsidRPr="00F32388">
              <w:t xml:space="preserve"> gniazda USB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Pr="00F32388">
              <w:t>łącze wideo HDMI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gniazda słuchawek i mikrofonu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Pr="00052484">
              <w:t>agrywarka DVD+/-R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układ klawiatury – QWERY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Pr="00052484">
              <w:t>ysz optyczna USB 800 DPI</w:t>
            </w:r>
          </w:p>
          <w:p w:rsidR="00E14C19" w:rsidRPr="00A67E40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torba dopasowana do wielkości komputera</w:t>
            </w:r>
          </w:p>
        </w:tc>
      </w:tr>
      <w:tr w:rsidR="00121322" w:rsidRPr="00A67E40" w:rsidTr="00E14C19">
        <w:tc>
          <w:tcPr>
            <w:tcW w:w="279" w:type="pct"/>
            <w:vAlign w:val="center"/>
          </w:tcPr>
          <w:p w:rsidR="00121322" w:rsidRPr="00E14C19" w:rsidRDefault="00121322" w:rsidP="00E14C19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121322" w:rsidRPr="00121322" w:rsidRDefault="00121322" w:rsidP="0056792E">
            <w:pPr>
              <w:rPr>
                <w:b/>
              </w:rPr>
            </w:pPr>
            <w:r w:rsidRPr="00121322">
              <w:rPr>
                <w:b/>
              </w:rPr>
              <w:t>Cena brutto</w:t>
            </w:r>
          </w:p>
        </w:tc>
        <w:tc>
          <w:tcPr>
            <w:tcW w:w="3759" w:type="pct"/>
            <w:vAlign w:val="center"/>
          </w:tcPr>
          <w:p w:rsidR="00121322" w:rsidRDefault="00121322" w:rsidP="00121322">
            <w:pPr>
              <w:pStyle w:val="Akapitzlist"/>
              <w:ind w:left="360"/>
            </w:pPr>
          </w:p>
        </w:tc>
      </w:tr>
    </w:tbl>
    <w:p w:rsidR="00E14C19" w:rsidRDefault="00E14C19" w:rsidP="00E14C19"/>
    <w:p w:rsidR="00E14C19" w:rsidRPr="00FB6C7B" w:rsidRDefault="00E14C19" w:rsidP="00757A3D">
      <w:pPr>
        <w:pStyle w:val="Akapitzlist"/>
        <w:numPr>
          <w:ilvl w:val="0"/>
          <w:numId w:val="2"/>
        </w:numPr>
        <w:rPr>
          <w:b/>
        </w:rPr>
      </w:pPr>
      <w:r w:rsidRPr="00FB6C7B">
        <w:rPr>
          <w:b/>
        </w:rPr>
        <w:t>Urządzenie wielofunkcyjne</w:t>
      </w:r>
    </w:p>
    <w:tbl>
      <w:tblPr>
        <w:tblStyle w:val="Tabela-Siatka"/>
        <w:tblW w:w="5153" w:type="pct"/>
        <w:tblLayout w:type="fixed"/>
        <w:tblLook w:val="04A0"/>
      </w:tblPr>
      <w:tblGrid>
        <w:gridCol w:w="676"/>
        <w:gridCol w:w="2410"/>
        <w:gridCol w:w="6486"/>
      </w:tblGrid>
      <w:tr w:rsidR="00E14C19" w:rsidRPr="00036DF5" w:rsidTr="0056792E">
        <w:tc>
          <w:tcPr>
            <w:tcW w:w="353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1259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388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>T</w:t>
            </w:r>
            <w:r w:rsidRPr="000F18AF">
              <w:t>echnologia druku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>atramentowa, kolorowa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>Maksymalny rozmiar nośnika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>A4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czerni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 xml:space="preserve">600 </w:t>
            </w:r>
            <w:proofErr w:type="spellStart"/>
            <w:r>
              <w:t>dpi</w:t>
            </w:r>
            <w:proofErr w:type="spellEnd"/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kolorze</w:t>
            </w:r>
          </w:p>
        </w:tc>
        <w:tc>
          <w:tcPr>
            <w:tcW w:w="3388" w:type="pct"/>
            <w:vAlign w:val="center"/>
          </w:tcPr>
          <w:p w:rsidR="00E14C19" w:rsidRPr="000F18AF" w:rsidRDefault="00E14C19" w:rsidP="0056792E">
            <w:r>
              <w:t>1200</w:t>
            </w:r>
            <w:r w:rsidRPr="000F18AF">
              <w:t xml:space="preserve"> </w:t>
            </w:r>
            <w:proofErr w:type="spellStart"/>
            <w:r w:rsidRPr="000F18AF">
              <w:t>dpi</w:t>
            </w:r>
            <w:proofErr w:type="spellEnd"/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 xml:space="preserve">minimalna szybkość druku w czerni </w:t>
            </w:r>
            <w:r w:rsidR="00FB6C7B">
              <w:br/>
            </w:r>
            <w:r>
              <w:t xml:space="preserve">i </w:t>
            </w:r>
            <w:r w:rsidR="00FB6C7B">
              <w:t xml:space="preserve">w </w:t>
            </w:r>
            <w:r>
              <w:t>kolor</w:t>
            </w:r>
            <w:r w:rsidR="00FB6C7B">
              <w:t>ze</w:t>
            </w:r>
          </w:p>
        </w:tc>
        <w:tc>
          <w:tcPr>
            <w:tcW w:w="3388" w:type="pct"/>
            <w:vAlign w:val="center"/>
          </w:tcPr>
          <w:p w:rsidR="00E14C19" w:rsidRPr="000F18AF" w:rsidRDefault="00E14C19" w:rsidP="0056792E">
            <w:r>
              <w:t>10</w:t>
            </w:r>
            <w:r w:rsidRPr="000F18AF">
              <w:t xml:space="preserve"> str./min.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 w:rsidRPr="000F18AF">
              <w:t>typ skanera</w:t>
            </w:r>
          </w:p>
        </w:tc>
        <w:tc>
          <w:tcPr>
            <w:tcW w:w="3388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10"/>
              </w:numPr>
            </w:pPr>
            <w:r w:rsidRPr="000F18AF">
              <w:t>A4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0"/>
              </w:numPr>
            </w:pPr>
            <w:r w:rsidRPr="000F18AF">
              <w:t>płaski</w:t>
            </w:r>
          </w:p>
          <w:p w:rsidR="00E14C19" w:rsidRPr="000F18AF" w:rsidRDefault="00E14C19" w:rsidP="00E14C19">
            <w:pPr>
              <w:pStyle w:val="Akapitzlist"/>
              <w:numPr>
                <w:ilvl w:val="0"/>
                <w:numId w:val="10"/>
              </w:numPr>
            </w:pPr>
            <w:r w:rsidRPr="000F18AF">
              <w:t>kolorowy</w:t>
            </w:r>
          </w:p>
        </w:tc>
      </w:tr>
      <w:tr w:rsidR="00E14C19" w:rsidRPr="000F18AF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1259" w:type="pct"/>
            <w:vAlign w:val="center"/>
          </w:tcPr>
          <w:p w:rsidR="00E14C19" w:rsidRPr="00B830A9" w:rsidRDefault="00E14C19" w:rsidP="0056792E">
            <w:r>
              <w:t xml:space="preserve">Minimalna </w:t>
            </w:r>
            <w:r w:rsidRPr="000F18AF">
              <w:t xml:space="preserve">rozdzielczość </w:t>
            </w:r>
            <w:r>
              <w:t>skanowania (optyczna)</w:t>
            </w:r>
            <w:r w:rsidRPr="000F18AF">
              <w:t xml:space="preserve"> </w:t>
            </w:r>
            <w:r w:rsidRPr="000F18AF">
              <w:tab/>
            </w:r>
          </w:p>
        </w:tc>
        <w:tc>
          <w:tcPr>
            <w:tcW w:w="3388" w:type="pct"/>
            <w:vAlign w:val="center"/>
          </w:tcPr>
          <w:p w:rsidR="00E14C19" w:rsidRPr="00FB6C7B" w:rsidRDefault="00E14C19" w:rsidP="0056792E">
            <w:r>
              <w:t>2400</w:t>
            </w:r>
            <w:r w:rsidRPr="00FB6C7B">
              <w:t xml:space="preserve"> </w:t>
            </w:r>
            <w:proofErr w:type="spellStart"/>
            <w:r w:rsidRPr="00FB6C7B">
              <w:t>dpi</w:t>
            </w:r>
            <w:proofErr w:type="spellEnd"/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 w:rsidRPr="000F18AF">
              <w:t>głębia koloru</w:t>
            </w:r>
            <w:r>
              <w:t xml:space="preserve"> skanera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 w:rsidRPr="000F18AF">
              <w:t>24 bit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1259" w:type="pct"/>
            <w:vAlign w:val="center"/>
          </w:tcPr>
          <w:p w:rsidR="00E14C19" w:rsidRPr="00B830A9" w:rsidRDefault="00E14C19" w:rsidP="0056792E">
            <w:r>
              <w:t>Łączność</w:t>
            </w:r>
          </w:p>
        </w:tc>
        <w:tc>
          <w:tcPr>
            <w:tcW w:w="3388" w:type="pct"/>
            <w:vAlign w:val="center"/>
          </w:tcPr>
          <w:p w:rsidR="00E14C19" w:rsidRPr="009E7317" w:rsidRDefault="00E14C19" w:rsidP="00E14C19">
            <w:pPr>
              <w:pStyle w:val="Akapitzlist"/>
              <w:numPr>
                <w:ilvl w:val="0"/>
                <w:numId w:val="13"/>
              </w:numPr>
            </w:pPr>
            <w:r w:rsidRPr="009E7317">
              <w:t>port USB 2.0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1"/>
              </w:numPr>
            </w:pPr>
            <w:r>
              <w:t>Ethernet</w:t>
            </w:r>
          </w:p>
          <w:p w:rsidR="00E14C19" w:rsidRPr="0045176A" w:rsidRDefault="00E14C19" w:rsidP="00E14C19">
            <w:pPr>
              <w:pStyle w:val="Akapitzlist"/>
              <w:numPr>
                <w:ilvl w:val="0"/>
                <w:numId w:val="11"/>
              </w:numPr>
            </w:pPr>
            <w:r>
              <w:t>sieć bezprzewodowa 802.11b/g/n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 w:rsidRPr="000F18AF">
              <w:t>Obsługiwane nośniki</w:t>
            </w:r>
          </w:p>
        </w:tc>
        <w:tc>
          <w:tcPr>
            <w:tcW w:w="3388" w:type="pct"/>
            <w:vAlign w:val="center"/>
          </w:tcPr>
          <w:p w:rsidR="00E14C19" w:rsidRPr="0045176A" w:rsidRDefault="00E14C19" w:rsidP="00E14C19">
            <w:pPr>
              <w:pStyle w:val="Akapitzlist"/>
              <w:numPr>
                <w:ilvl w:val="0"/>
                <w:numId w:val="14"/>
              </w:numPr>
            </w:pPr>
            <w:r w:rsidRPr="0045176A">
              <w:t>papier A4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papier A5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papier B5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papier foto</w:t>
            </w:r>
          </w:p>
          <w:p w:rsidR="00E14C19" w:rsidRPr="000F18AF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lastRenderedPageBreak/>
              <w:t>koperty</w:t>
            </w:r>
          </w:p>
          <w:p w:rsidR="00E14C19" w:rsidRPr="005F6F63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przeźrocza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11</w:t>
            </w:r>
          </w:p>
        </w:tc>
        <w:tc>
          <w:tcPr>
            <w:tcW w:w="1259" w:type="pct"/>
            <w:vAlign w:val="center"/>
          </w:tcPr>
          <w:p w:rsidR="00E14C19" w:rsidRPr="000F18AF" w:rsidRDefault="00E14C19" w:rsidP="0056792E">
            <w:r>
              <w:t>Minimalna p</w:t>
            </w:r>
            <w:r w:rsidRPr="003E57A7">
              <w:t>ojemność podajnika papieru</w:t>
            </w:r>
          </w:p>
        </w:tc>
        <w:tc>
          <w:tcPr>
            <w:tcW w:w="3388" w:type="pct"/>
            <w:vAlign w:val="center"/>
          </w:tcPr>
          <w:p w:rsidR="00E14C19" w:rsidRPr="003E57A7" w:rsidRDefault="00E14C19" w:rsidP="0056792E">
            <w:r>
              <w:t>100 szt.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1259" w:type="pct"/>
            <w:vAlign w:val="center"/>
          </w:tcPr>
          <w:p w:rsidR="00E14C19" w:rsidRPr="003471E8" w:rsidRDefault="00E14C19" w:rsidP="0056792E">
            <w:r w:rsidRPr="003471E8">
              <w:t>Niezawodność/jakość wytwarzania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1259" w:type="pct"/>
            <w:vAlign w:val="center"/>
          </w:tcPr>
          <w:p w:rsidR="00E14C19" w:rsidRPr="003471E8" w:rsidRDefault="00E14C19" w:rsidP="0056792E">
            <w:r w:rsidRPr="003471E8">
              <w:t>Warunki gwarancji</w:t>
            </w:r>
          </w:p>
        </w:tc>
        <w:tc>
          <w:tcPr>
            <w:tcW w:w="3388" w:type="pct"/>
            <w:vAlign w:val="center"/>
          </w:tcPr>
          <w:p w:rsidR="00B23F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</w:t>
            </w:r>
            <w:r>
              <w:t>lata</w:t>
            </w:r>
            <w:r w:rsidR="00B23F19">
              <w:t xml:space="preserve"> od daty dostawy</w:t>
            </w:r>
          </w:p>
          <w:p w:rsidR="00E14C19" w:rsidRPr="00B23F19" w:rsidRDefault="00E14C19" w:rsidP="00B23F19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="008F1C87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–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8F1C87" w:rsidTr="0056792E">
        <w:tc>
          <w:tcPr>
            <w:tcW w:w="353" w:type="pct"/>
            <w:vAlign w:val="center"/>
          </w:tcPr>
          <w:p w:rsidR="008F1C87" w:rsidRPr="00E14C19" w:rsidRDefault="008F1C87" w:rsidP="0056792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59" w:type="pct"/>
            <w:vAlign w:val="center"/>
          </w:tcPr>
          <w:p w:rsidR="008F1C87" w:rsidRPr="003471E8" w:rsidRDefault="008F1C87" w:rsidP="0056792E">
            <w:r>
              <w:t>Wymagania dodatkowe</w:t>
            </w:r>
          </w:p>
        </w:tc>
        <w:tc>
          <w:tcPr>
            <w:tcW w:w="3388" w:type="pct"/>
            <w:vAlign w:val="center"/>
          </w:tcPr>
          <w:p w:rsidR="008F1C87" w:rsidRPr="008F1C87" w:rsidRDefault="008F1C87" w:rsidP="008F1C87">
            <w:r>
              <w:t>Kabel USB w zestawie</w:t>
            </w:r>
          </w:p>
        </w:tc>
      </w:tr>
      <w:tr w:rsidR="00121322" w:rsidTr="0056792E">
        <w:tc>
          <w:tcPr>
            <w:tcW w:w="353" w:type="pct"/>
            <w:vAlign w:val="center"/>
          </w:tcPr>
          <w:p w:rsidR="00121322" w:rsidRDefault="00121322" w:rsidP="0056792E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121322" w:rsidRPr="00121322" w:rsidRDefault="00121322" w:rsidP="0056792E">
            <w:pPr>
              <w:rPr>
                <w:b/>
              </w:rPr>
            </w:pPr>
            <w:r w:rsidRPr="00121322">
              <w:rPr>
                <w:b/>
              </w:rPr>
              <w:t>Cena brutto</w:t>
            </w:r>
          </w:p>
        </w:tc>
        <w:tc>
          <w:tcPr>
            <w:tcW w:w="3388" w:type="pct"/>
            <w:vAlign w:val="center"/>
          </w:tcPr>
          <w:p w:rsidR="00121322" w:rsidRDefault="00121322" w:rsidP="008F1C87"/>
        </w:tc>
      </w:tr>
    </w:tbl>
    <w:p w:rsidR="00E14C19" w:rsidRDefault="00E14C19" w:rsidP="00E14C19"/>
    <w:p w:rsidR="00121322" w:rsidRDefault="00121322"/>
    <w:p w:rsidR="00757A3D" w:rsidRDefault="00121322">
      <w:r>
        <w:t>Razem cena brutto (1+2+3)=</w:t>
      </w:r>
    </w:p>
    <w:sectPr w:rsidR="00757A3D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C2" w:rsidRDefault="00FA2CC2" w:rsidP="00FA2CC2">
      <w:pPr>
        <w:spacing w:after="0" w:line="240" w:lineRule="auto"/>
      </w:pPr>
      <w:r>
        <w:separator/>
      </w:r>
    </w:p>
  </w:endnote>
  <w:endnote w:type="continuationSeparator" w:id="0">
    <w:p w:rsidR="00FA2CC2" w:rsidRDefault="00FA2CC2" w:rsidP="00FA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CC2" w:rsidRDefault="00FA2CC2">
    <w:pPr>
      <w:pStyle w:val="Stopka"/>
    </w:pPr>
    <w:r w:rsidRPr="00FA2CC2">
      <w:rPr>
        <w:noProof/>
        <w:lang w:eastAsia="pl-PL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C2" w:rsidRDefault="00FA2CC2" w:rsidP="00FA2CC2">
      <w:pPr>
        <w:spacing w:after="0" w:line="240" w:lineRule="auto"/>
      </w:pPr>
      <w:r>
        <w:separator/>
      </w:r>
    </w:p>
  </w:footnote>
  <w:footnote w:type="continuationSeparator" w:id="0">
    <w:p w:rsidR="00FA2CC2" w:rsidRDefault="00FA2CC2" w:rsidP="00FA2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CC2" w:rsidRDefault="00FA2CC2">
    <w:pPr>
      <w:pStyle w:val="Nagwek"/>
    </w:pPr>
    <w:r w:rsidRPr="00FA2CC2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C6D"/>
    <w:multiLevelType w:val="hybridMultilevel"/>
    <w:tmpl w:val="7BF6F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273724"/>
    <w:multiLevelType w:val="hybridMultilevel"/>
    <w:tmpl w:val="2214B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55D9A"/>
    <w:multiLevelType w:val="hybridMultilevel"/>
    <w:tmpl w:val="545848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18675A"/>
    <w:multiLevelType w:val="hybridMultilevel"/>
    <w:tmpl w:val="76F06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70BB8"/>
    <w:multiLevelType w:val="hybridMultilevel"/>
    <w:tmpl w:val="A14A4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068A3"/>
    <w:multiLevelType w:val="hybridMultilevel"/>
    <w:tmpl w:val="FE5CAE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11"/>
  </w:num>
  <w:num w:numId="8">
    <w:abstractNumId w:val="8"/>
  </w:num>
  <w:num w:numId="9">
    <w:abstractNumId w:val="12"/>
  </w:num>
  <w:num w:numId="10">
    <w:abstractNumId w:val="7"/>
  </w:num>
  <w:num w:numId="11">
    <w:abstractNumId w:val="13"/>
  </w:num>
  <w:num w:numId="12">
    <w:abstractNumId w:val="0"/>
  </w:num>
  <w:num w:numId="13">
    <w:abstractNumId w:val="3"/>
  </w:num>
  <w:num w:numId="14">
    <w:abstractNumId w:val="2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7A3D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37B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322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CFC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59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5E5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24E9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A5791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18AD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C60DC"/>
    <w:rsid w:val="004D2F18"/>
    <w:rsid w:val="004D3866"/>
    <w:rsid w:val="004D3D7B"/>
    <w:rsid w:val="004D515F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19C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92E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A3D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C78C7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2D3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192B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1C87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4F1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07E22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2D0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D6EE9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3F19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573F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076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4FD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5087"/>
    <w:rsid w:val="00D4666A"/>
    <w:rsid w:val="00D47839"/>
    <w:rsid w:val="00D47C7B"/>
    <w:rsid w:val="00D51C65"/>
    <w:rsid w:val="00D558B1"/>
    <w:rsid w:val="00D5627D"/>
    <w:rsid w:val="00D57E98"/>
    <w:rsid w:val="00D62273"/>
    <w:rsid w:val="00D643BB"/>
    <w:rsid w:val="00D6704F"/>
    <w:rsid w:val="00D674CB"/>
    <w:rsid w:val="00D82911"/>
    <w:rsid w:val="00D852FC"/>
    <w:rsid w:val="00D85D0E"/>
    <w:rsid w:val="00D85F29"/>
    <w:rsid w:val="00D86720"/>
    <w:rsid w:val="00D90466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C19"/>
    <w:rsid w:val="00E14FD9"/>
    <w:rsid w:val="00E16C35"/>
    <w:rsid w:val="00E17FCF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923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2CC2"/>
    <w:rsid w:val="00FA4525"/>
    <w:rsid w:val="00FA5D14"/>
    <w:rsid w:val="00FB0A83"/>
    <w:rsid w:val="00FB232B"/>
    <w:rsid w:val="00FB280F"/>
    <w:rsid w:val="00FB3CA8"/>
    <w:rsid w:val="00FB3E95"/>
    <w:rsid w:val="00FB44F9"/>
    <w:rsid w:val="00FB6C7B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2C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757A3D"/>
    <w:pPr>
      <w:ind w:left="720"/>
      <w:contextualSpacing/>
    </w:pPr>
  </w:style>
  <w:style w:type="table" w:styleId="Tabela-Siatka">
    <w:name w:val="Table Grid"/>
    <w:basedOn w:val="Standardowy"/>
    <w:uiPriority w:val="59"/>
    <w:rsid w:val="00757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14C19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56792E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FA2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2CC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A2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2CC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25</cp:revision>
  <dcterms:created xsi:type="dcterms:W3CDTF">2013-12-10T07:39:00Z</dcterms:created>
  <dcterms:modified xsi:type="dcterms:W3CDTF">2014-01-03T07:23:00Z</dcterms:modified>
</cp:coreProperties>
</file>